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775" w:rsidRDefault="00FC6775">
      <w:pPr>
        <w:jc w:val="right"/>
        <w:rPr>
          <w:rFonts w:ascii="Arial" w:eastAsia="Arial" w:hAnsi="Arial" w:cs="Arial"/>
          <w:b/>
          <w:color w:val="ED7D31"/>
          <w:sz w:val="28"/>
          <w:szCs w:val="28"/>
        </w:rPr>
      </w:pPr>
    </w:p>
    <w:p w:rsidR="00FC6775" w:rsidRDefault="00FC6775">
      <w:pPr>
        <w:jc w:val="right"/>
        <w:rPr>
          <w:rFonts w:ascii="Arial" w:eastAsia="Arial" w:hAnsi="Arial" w:cs="Arial"/>
          <w:b/>
          <w:color w:val="ED7D31"/>
          <w:sz w:val="28"/>
          <w:szCs w:val="28"/>
        </w:rPr>
      </w:pPr>
    </w:p>
    <w:p w:rsidR="00FC6775" w:rsidRDefault="00FC6775">
      <w:pPr>
        <w:rPr>
          <w:rFonts w:ascii="Arial" w:eastAsia="Arial" w:hAnsi="Arial" w:cs="Arial"/>
          <w:b/>
          <w:color w:val="ED7D31"/>
          <w:sz w:val="28"/>
          <w:szCs w:val="28"/>
        </w:rPr>
      </w:pPr>
    </w:p>
    <w:p w:rsidR="00FC6775" w:rsidRDefault="00454718">
      <w:pPr>
        <w:rPr>
          <w:rFonts w:ascii="Arial" w:eastAsia="Arial" w:hAnsi="Arial" w:cs="Arial"/>
          <w:b/>
          <w:color w:val="ED7D31"/>
          <w:sz w:val="32"/>
          <w:szCs w:val="32"/>
        </w:rPr>
      </w:pPr>
      <w:r>
        <w:rPr>
          <w:rFonts w:ascii="Arial" w:eastAsia="Arial" w:hAnsi="Arial" w:cs="Arial"/>
          <w:b/>
          <w:color w:val="ED7D31"/>
          <w:sz w:val="32"/>
          <w:szCs w:val="32"/>
        </w:rPr>
        <w:t xml:space="preserve">COMMUNIQUE </w:t>
      </w:r>
      <w:r w:rsidR="000C5431">
        <w:rPr>
          <w:rFonts w:ascii="Arial" w:eastAsia="Arial" w:hAnsi="Arial" w:cs="Arial"/>
          <w:b/>
          <w:color w:val="ED7D31"/>
          <w:sz w:val="32"/>
          <w:szCs w:val="32"/>
        </w:rPr>
        <w:t>du 17 février 2021</w:t>
      </w:r>
    </w:p>
    <w:p w:rsidR="00FC6775" w:rsidRPr="000C5431" w:rsidRDefault="00454718" w:rsidP="000C5431">
      <w:pPr>
        <w:rPr>
          <w:rFonts w:ascii="Arial" w:eastAsia="Arial" w:hAnsi="Arial" w:cs="Arial"/>
          <w:b/>
          <w:color w:val="ED7D31"/>
          <w:sz w:val="28"/>
          <w:szCs w:val="28"/>
        </w:rPr>
      </w:pPr>
      <w:r>
        <w:rPr>
          <w:rFonts w:ascii="Arial" w:eastAsia="Arial" w:hAnsi="Arial" w:cs="Arial"/>
          <w:b/>
          <w:color w:val="ED7D31"/>
          <w:sz w:val="28"/>
          <w:szCs w:val="28"/>
        </w:rPr>
        <w:t>Les Missions Locales au cœur du Plan Jeunes</w:t>
      </w:r>
      <w:r>
        <w:rPr>
          <w:rFonts w:ascii="Arial" w:eastAsia="Arial" w:hAnsi="Arial" w:cs="Arial"/>
          <w:color w:val="ED7D31"/>
          <w:sz w:val="28"/>
          <w:szCs w:val="28"/>
        </w:rPr>
        <w:br/>
      </w:r>
    </w:p>
    <w:p w:rsidR="00FC6775" w:rsidRDefault="00454718">
      <w:pPr>
        <w:ind w:right="2693"/>
        <w:rPr>
          <w:rFonts w:ascii="Arial" w:eastAsia="Arial" w:hAnsi="Arial" w:cs="Arial"/>
          <w:b/>
        </w:rPr>
      </w:pPr>
      <w:r>
        <w:rPr>
          <w:rFonts w:ascii="Arial" w:eastAsia="Arial" w:hAnsi="Arial" w:cs="Arial"/>
          <w:b/>
        </w:rPr>
        <w:t xml:space="preserve">Insertion sociale et professionnelle #1jeune1solution </w:t>
      </w:r>
    </w:p>
    <w:p w:rsidR="00FC6775" w:rsidRDefault="00454718">
      <w:pPr>
        <w:rPr>
          <w:rFonts w:ascii="Arial" w:eastAsia="Arial" w:hAnsi="Arial" w:cs="Arial"/>
          <w:b/>
          <w:sz w:val="30"/>
          <w:szCs w:val="30"/>
        </w:rPr>
      </w:pPr>
      <w:r>
        <w:rPr>
          <w:rFonts w:ascii="Arial" w:eastAsia="Arial" w:hAnsi="Arial" w:cs="Arial"/>
          <w:b/>
          <w:sz w:val="30"/>
          <w:szCs w:val="30"/>
        </w:rPr>
        <w:t>A chaque jeune sa solution !</w:t>
      </w:r>
    </w:p>
    <w:p w:rsidR="00FC6775" w:rsidRDefault="00454718">
      <w:pPr>
        <w:rPr>
          <w:rFonts w:ascii="Arial" w:eastAsia="Arial" w:hAnsi="Arial" w:cs="Arial"/>
          <w:b/>
          <w:sz w:val="30"/>
          <w:szCs w:val="30"/>
        </w:rPr>
      </w:pPr>
      <w:r>
        <w:rPr>
          <w:rFonts w:ascii="Arial" w:eastAsia="Arial" w:hAnsi="Arial" w:cs="Arial"/>
          <w:b/>
          <w:sz w:val="30"/>
          <w:szCs w:val="30"/>
        </w:rPr>
        <w:t xml:space="preserve">&gt;&gt;&gt; Contexte : </w:t>
      </w:r>
    </w:p>
    <w:p w:rsidR="00FC6775" w:rsidRDefault="00454718">
      <w:pPr>
        <w:jc w:val="both"/>
        <w:rPr>
          <w:rFonts w:ascii="Arial" w:eastAsia="Arial" w:hAnsi="Arial" w:cs="Arial"/>
        </w:rPr>
      </w:pPr>
      <w:r>
        <w:rPr>
          <w:rFonts w:ascii="Arial" w:eastAsia="Arial" w:hAnsi="Arial" w:cs="Arial"/>
        </w:rPr>
        <w:t xml:space="preserve">Pour faire face aux conséquences économiques de la crise sanitaire, un plan de relance économique de 100 milliards d’euros a été lancé avec pour priorité la lutte contre le chômage et la préservation de l’emploi. </w:t>
      </w:r>
    </w:p>
    <w:p w:rsidR="00FC6775" w:rsidRDefault="00454718">
      <w:pPr>
        <w:jc w:val="both"/>
        <w:rPr>
          <w:rFonts w:ascii="Arial" w:eastAsia="Arial" w:hAnsi="Arial" w:cs="Arial"/>
        </w:rPr>
      </w:pPr>
      <w:r>
        <w:rPr>
          <w:rFonts w:ascii="Arial" w:eastAsia="Arial" w:hAnsi="Arial" w:cs="Arial"/>
        </w:rPr>
        <w:t>Un de ses volets, le plan « #1jeune1soluti</w:t>
      </w:r>
      <w:r>
        <w:rPr>
          <w:rFonts w:ascii="Arial" w:eastAsia="Arial" w:hAnsi="Arial" w:cs="Arial"/>
        </w:rPr>
        <w:t xml:space="preserve">on », comporte une série de mesures pour accompagner les jeunes face aux impacts de la crise sanitaire de la Covid-19. </w:t>
      </w:r>
    </w:p>
    <w:p w:rsidR="00FC6775" w:rsidRDefault="00454718">
      <w:pPr>
        <w:ind w:right="2693"/>
        <w:jc w:val="both"/>
        <w:rPr>
          <w:rFonts w:ascii="Arial" w:eastAsia="Arial" w:hAnsi="Arial" w:cs="Arial"/>
          <w:b/>
        </w:rPr>
      </w:pPr>
      <w:r>
        <w:rPr>
          <w:rFonts w:ascii="Arial" w:eastAsia="Arial" w:hAnsi="Arial" w:cs="Arial"/>
          <w:b/>
        </w:rPr>
        <w:t>Dans le cadre du plan 1jeune 1solution, les Missions Locales sont mobilisées pour réussir le plan jeunes. Le réseau des 440 Missions Loc</w:t>
      </w:r>
      <w:r>
        <w:rPr>
          <w:rFonts w:ascii="Arial" w:eastAsia="Arial" w:hAnsi="Arial" w:cs="Arial"/>
          <w:b/>
        </w:rPr>
        <w:t>ales accompagne chaque année 1 100 000 jeunes vers l’emploi et l’autonomie. Il joue un rôle clé dans le déploiement du plan 1jeune1solution.</w:t>
      </w:r>
    </w:p>
    <w:p w:rsidR="00FC6775" w:rsidRDefault="00454718">
      <w:pPr>
        <w:rPr>
          <w:rFonts w:ascii="Arial" w:eastAsia="Arial" w:hAnsi="Arial" w:cs="Arial"/>
          <w:b/>
          <w:sz w:val="30"/>
          <w:szCs w:val="30"/>
        </w:rPr>
      </w:pPr>
      <w:r>
        <w:rPr>
          <w:rFonts w:ascii="Arial" w:eastAsia="Arial" w:hAnsi="Arial" w:cs="Arial"/>
          <w:b/>
          <w:sz w:val="30"/>
          <w:szCs w:val="30"/>
        </w:rPr>
        <w:t>&gt;&gt;&gt; Solution n°1 : Pousser la porte de sa Mission Locale</w:t>
      </w:r>
    </w:p>
    <w:p w:rsidR="00FC6775" w:rsidRDefault="00454718">
      <w:pPr>
        <w:ind w:right="2693"/>
        <w:jc w:val="both"/>
        <w:rPr>
          <w:rFonts w:ascii="Arial" w:eastAsia="Arial" w:hAnsi="Arial" w:cs="Arial"/>
        </w:rPr>
      </w:pPr>
      <w:r>
        <w:rPr>
          <w:rFonts w:ascii="Arial" w:eastAsia="Arial" w:hAnsi="Arial" w:cs="Arial"/>
        </w:rPr>
        <w:t>Le contexte actuel a engendré une dégradation des conditio</w:t>
      </w:r>
      <w:r>
        <w:rPr>
          <w:rFonts w:ascii="Arial" w:eastAsia="Arial" w:hAnsi="Arial" w:cs="Arial"/>
        </w:rPr>
        <w:t>ns de vie des jeunes. Bon nombre de leurs projets ont été remis en cause et l’avenir leur paraît incertain.</w:t>
      </w:r>
      <w:r>
        <w:rPr>
          <w:noProof/>
        </w:rPr>
        <w:drawing>
          <wp:anchor distT="0" distB="0" distL="114300" distR="114300" simplePos="0" relativeHeight="251658240" behindDoc="0" locked="0" layoutInCell="1" hidden="0" allowOverlap="1">
            <wp:simplePos x="0" y="0"/>
            <wp:positionH relativeFrom="column">
              <wp:posOffset>4048125</wp:posOffset>
            </wp:positionH>
            <wp:positionV relativeFrom="paragraph">
              <wp:posOffset>32385</wp:posOffset>
            </wp:positionV>
            <wp:extent cx="1781175" cy="2519406"/>
            <wp:effectExtent l="0" t="0" r="0" b="0"/>
            <wp:wrapSquare wrapText="bothSides" distT="0" distB="0" distL="114300" distR="114300"/>
            <wp:docPr id="2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781175" cy="2519406"/>
                    </a:xfrm>
                    <a:prstGeom prst="rect">
                      <a:avLst/>
                    </a:prstGeom>
                    <a:ln/>
                  </pic:spPr>
                </pic:pic>
              </a:graphicData>
            </a:graphic>
          </wp:anchor>
        </w:drawing>
      </w:r>
    </w:p>
    <w:p w:rsidR="00FC6775" w:rsidRDefault="00454718">
      <w:pPr>
        <w:jc w:val="both"/>
        <w:rPr>
          <w:rFonts w:ascii="Arial" w:eastAsia="Arial" w:hAnsi="Arial" w:cs="Arial"/>
          <w:b/>
        </w:rPr>
      </w:pPr>
      <w:r>
        <w:rPr>
          <w:rFonts w:ascii="Arial" w:eastAsia="Arial" w:hAnsi="Arial" w:cs="Arial"/>
          <w:b/>
        </w:rPr>
        <w:t>Tous les jeunes de 16 à 25 ans qui cherchent des solutions peuvent se rendre dans la Mission Locale de leur territoire. Elle leur permettra de fair</w:t>
      </w:r>
      <w:r>
        <w:rPr>
          <w:rFonts w:ascii="Arial" w:eastAsia="Arial" w:hAnsi="Arial" w:cs="Arial"/>
          <w:b/>
        </w:rPr>
        <w:t>e le point sur leur parcours de vie et les accompagnera dans la définition d’un projet professionnel, notamment grâce à l’utilisation de la boîte à outils délivrée par le plan gouvernemental 1jeune1solution (France Relance).</w:t>
      </w:r>
    </w:p>
    <w:p w:rsidR="00FC6775" w:rsidRDefault="00454718">
      <w:pPr>
        <w:jc w:val="both"/>
        <w:rPr>
          <w:rFonts w:ascii="Arial" w:eastAsia="Arial" w:hAnsi="Arial" w:cs="Arial"/>
          <w:sz w:val="24"/>
          <w:szCs w:val="24"/>
        </w:rPr>
      </w:pPr>
      <w:r>
        <w:rPr>
          <w:rFonts w:ascii="Arial" w:eastAsia="Arial" w:hAnsi="Arial" w:cs="Arial"/>
          <w:color w:val="444444"/>
          <w:highlight w:val="white"/>
        </w:rPr>
        <w:t>Selon leur niveau, leurs besoin</w:t>
      </w:r>
      <w:r>
        <w:rPr>
          <w:rFonts w:ascii="Arial" w:eastAsia="Arial" w:hAnsi="Arial" w:cs="Arial"/>
          <w:color w:val="444444"/>
          <w:highlight w:val="white"/>
        </w:rPr>
        <w:t xml:space="preserve">s, leurs difficultés, ils peuvent bénéficier de réponses individualisées pour définir un objectif professionnel et les étapes de sa réalisation, pour établir un projet de formation et l’accomplir, pour accéder à l’emploi et s’y maintenir. </w:t>
      </w:r>
    </w:p>
    <w:p w:rsidR="00FC6775" w:rsidRDefault="00454718">
      <w:pPr>
        <w:spacing w:after="0" w:line="240" w:lineRule="auto"/>
        <w:jc w:val="both"/>
        <w:rPr>
          <w:rFonts w:ascii="Arial" w:eastAsia="Arial" w:hAnsi="Arial" w:cs="Arial"/>
          <w:color w:val="444444"/>
          <w:highlight w:val="white"/>
        </w:rPr>
      </w:pPr>
      <w:r>
        <w:rPr>
          <w:rFonts w:ascii="Arial" w:eastAsia="Arial" w:hAnsi="Arial" w:cs="Arial"/>
          <w:color w:val="444444"/>
          <w:highlight w:val="white"/>
        </w:rPr>
        <w:t>L’objectif des M</w:t>
      </w:r>
      <w:r>
        <w:rPr>
          <w:rFonts w:ascii="Arial" w:eastAsia="Arial" w:hAnsi="Arial" w:cs="Arial"/>
          <w:color w:val="444444"/>
          <w:highlight w:val="white"/>
        </w:rPr>
        <w:t>issions Locales est de favoriser la concertation entre les différents partenaires pour construire des actions adaptées aux besoins des jeunes et aux réalités locales. Pour exemple, le versement de l’aide financière exceptionnelle des jeunes accompagnés par</w:t>
      </w:r>
      <w:r>
        <w:rPr>
          <w:rFonts w:ascii="Arial" w:eastAsia="Arial" w:hAnsi="Arial" w:cs="Arial"/>
          <w:color w:val="444444"/>
          <w:highlight w:val="white"/>
        </w:rPr>
        <w:t xml:space="preserve"> Pôle emploi ou </w:t>
      </w:r>
      <w:proofErr w:type="spellStart"/>
      <w:r>
        <w:rPr>
          <w:rFonts w:ascii="Arial" w:eastAsia="Arial" w:hAnsi="Arial" w:cs="Arial"/>
          <w:color w:val="444444"/>
          <w:highlight w:val="white"/>
        </w:rPr>
        <w:t>l’Apec</w:t>
      </w:r>
      <w:proofErr w:type="spellEnd"/>
      <w:r>
        <w:rPr>
          <w:rFonts w:ascii="Arial" w:eastAsia="Arial" w:hAnsi="Arial" w:cs="Arial"/>
          <w:color w:val="444444"/>
          <w:highlight w:val="white"/>
        </w:rPr>
        <w:t xml:space="preserve"> s’appuie sur un diagnostic, social et financier, de la situation du jeune, établi par la Mission Locale.   </w:t>
      </w:r>
    </w:p>
    <w:p w:rsidR="00FC6775" w:rsidRDefault="00FC6775">
      <w:pPr>
        <w:ind w:right="2693"/>
        <w:rPr>
          <w:rFonts w:ascii="Arial" w:eastAsia="Arial" w:hAnsi="Arial" w:cs="Arial"/>
          <w:b/>
          <w:strike/>
        </w:rPr>
      </w:pPr>
    </w:p>
    <w:p w:rsidR="00FC6775" w:rsidRDefault="00454718">
      <w:pPr>
        <w:rPr>
          <w:rFonts w:ascii="Arial" w:eastAsia="Arial" w:hAnsi="Arial" w:cs="Arial"/>
          <w:b/>
          <w:i/>
          <w:strike/>
        </w:rPr>
      </w:pPr>
      <w:r>
        <w:rPr>
          <w:rFonts w:ascii="Arial" w:eastAsia="Arial" w:hAnsi="Arial" w:cs="Arial"/>
          <w:b/>
          <w:i/>
        </w:rPr>
        <w:t xml:space="preserve">RAPPEL &gt; </w:t>
      </w:r>
      <w:r>
        <w:rPr>
          <w:rFonts w:ascii="Arial" w:eastAsia="Arial" w:hAnsi="Arial" w:cs="Arial"/>
          <w:b/>
          <w:i/>
        </w:rPr>
        <w:t xml:space="preserve">Dans le cadre de la loi “Pour une école de la confiance”, la formation des jeunes mineurs est obligatoire jusqu’à </w:t>
      </w:r>
      <w:r>
        <w:rPr>
          <w:rFonts w:ascii="Arial" w:eastAsia="Arial" w:hAnsi="Arial" w:cs="Arial"/>
          <w:b/>
          <w:i/>
        </w:rPr>
        <w:t>18 ans. Les Missions Locales en assurent la mise en œuvre.</w:t>
      </w:r>
    </w:p>
    <w:p w:rsidR="00FC6775" w:rsidRDefault="00FC6775">
      <w:pPr>
        <w:rPr>
          <w:rFonts w:ascii="Arial" w:eastAsia="Arial" w:hAnsi="Arial" w:cs="Arial"/>
        </w:rPr>
      </w:pPr>
    </w:p>
    <w:p w:rsidR="00FC6775" w:rsidRDefault="00454718">
      <w:pPr>
        <w:rPr>
          <w:rFonts w:ascii="Arial" w:eastAsia="Arial" w:hAnsi="Arial" w:cs="Arial"/>
          <w:b/>
          <w:sz w:val="30"/>
          <w:szCs w:val="30"/>
        </w:rPr>
      </w:pPr>
      <w:r>
        <w:rPr>
          <w:rFonts w:ascii="Arial" w:eastAsia="Arial" w:hAnsi="Arial" w:cs="Arial"/>
          <w:b/>
          <w:sz w:val="30"/>
          <w:szCs w:val="30"/>
        </w:rPr>
        <w:t xml:space="preserve">&gt;&gt;&gt; Plusieurs leviers d’actions </w:t>
      </w:r>
    </w:p>
    <w:p w:rsidR="00FC6775" w:rsidRDefault="00454718">
      <w:pPr>
        <w:rPr>
          <w:rFonts w:ascii="Arial" w:eastAsia="Arial" w:hAnsi="Arial" w:cs="Arial"/>
          <w:b/>
        </w:rPr>
      </w:pPr>
      <w:r>
        <w:rPr>
          <w:rFonts w:ascii="Arial" w:eastAsia="Arial" w:hAnsi="Arial" w:cs="Arial"/>
          <w:b/>
        </w:rPr>
        <w:t xml:space="preserve">Les principaux leviers d’action proposés aux jeunes, en fonction de leur situation et de leur projet, sont les suivants : </w:t>
      </w: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Un accompagnement dans l’orientation </w:t>
      </w: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Une mobilisation adaptée de tous les dispositifs favorisant l’insertion</w:t>
      </w: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Un accompagnement intensif pour les jeunes en situation de précarité : la Garantie jeunes</w:t>
      </w: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Un accompagnement adapté aux jeunes de 16 – 18 ans, avec des phases de remobilisation et de fo</w:t>
      </w:r>
      <w:r>
        <w:rPr>
          <w:rFonts w:ascii="Arial" w:eastAsia="Arial" w:hAnsi="Arial" w:cs="Arial"/>
          <w:color w:val="000000"/>
        </w:rPr>
        <w:t>rmation ;</w:t>
      </w:r>
    </w:p>
    <w:p w:rsidR="00FC6775" w:rsidRDefault="00FC6775">
      <w:pPr>
        <w:pBdr>
          <w:top w:val="nil"/>
          <w:left w:val="nil"/>
          <w:bottom w:val="nil"/>
          <w:right w:val="nil"/>
          <w:between w:val="nil"/>
        </w:pBdr>
        <w:spacing w:after="0"/>
        <w:jc w:val="both"/>
        <w:rPr>
          <w:rFonts w:ascii="Arial" w:eastAsia="Arial" w:hAnsi="Arial" w:cs="Arial"/>
        </w:rPr>
      </w:pP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Des pé</w:t>
      </w:r>
      <w:r>
        <w:rPr>
          <w:rFonts w:ascii="Arial" w:eastAsia="Arial" w:hAnsi="Arial" w:cs="Arial"/>
          <w:color w:val="000000"/>
        </w:rPr>
        <w:t>r</w:t>
      </w:r>
      <w:r>
        <w:rPr>
          <w:rFonts w:ascii="Arial" w:eastAsia="Arial" w:hAnsi="Arial" w:cs="Arial"/>
          <w:color w:val="000000"/>
        </w:rPr>
        <w:t xml:space="preserve">iodes d’immersion en entreprise pour découvrir les métiers ou confirmer leurs projets </w:t>
      </w:r>
    </w:p>
    <w:p w:rsidR="00FC6775" w:rsidRDefault="00454718">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Des formations qualifiantes ou pré-qualifiantes ;</w:t>
      </w:r>
    </w:p>
    <w:p w:rsidR="00FC6775" w:rsidRDefault="00454718">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Des propositions de missions de Service Civique de proximité. </w:t>
      </w:r>
    </w:p>
    <w:p w:rsidR="00FC6775" w:rsidRDefault="00FC6775">
      <w:pPr>
        <w:rPr>
          <w:rFonts w:ascii="Arial" w:eastAsia="Arial" w:hAnsi="Arial" w:cs="Arial"/>
        </w:rPr>
      </w:pPr>
    </w:p>
    <w:p w:rsidR="00FC6775" w:rsidRPr="000C5431" w:rsidRDefault="00454718">
      <w:pPr>
        <w:rPr>
          <w:rFonts w:ascii="Arial" w:eastAsia="Arial" w:hAnsi="Arial" w:cs="Arial"/>
          <w:b/>
        </w:rPr>
      </w:pPr>
      <w:r w:rsidRPr="000C5431">
        <w:rPr>
          <w:rFonts w:ascii="Arial" w:eastAsia="Arial" w:hAnsi="Arial" w:cs="Arial"/>
          <w:b/>
        </w:rPr>
        <w:t xml:space="preserve">&gt;&gt;&gt; Pour passer en « Mode avenir », </w:t>
      </w:r>
      <w:r w:rsidRPr="000C5431">
        <w:rPr>
          <w:rFonts w:ascii="Arial" w:eastAsia="Arial" w:hAnsi="Arial" w:cs="Arial"/>
          <w:b/>
        </w:rPr>
        <w:t xml:space="preserve">une seule adresse, la Mission Locale </w:t>
      </w:r>
    </w:p>
    <w:p w:rsidR="00FC6775" w:rsidRPr="008C692B" w:rsidRDefault="00454718">
      <w:pPr>
        <w:rPr>
          <w:rFonts w:ascii="Arial" w:eastAsia="Arial" w:hAnsi="Arial" w:cs="Arial"/>
          <w:b/>
          <w:sz w:val="24"/>
          <w:szCs w:val="24"/>
        </w:rPr>
      </w:pPr>
      <w:r w:rsidRPr="008C692B">
        <w:rPr>
          <w:b/>
          <w:noProof/>
          <w:sz w:val="24"/>
          <w:szCs w:val="24"/>
        </w:rPr>
        <w:drawing>
          <wp:anchor distT="0" distB="0" distL="0" distR="0" simplePos="0" relativeHeight="251659264" behindDoc="0" locked="0" layoutInCell="1" hidden="0" allowOverlap="1">
            <wp:simplePos x="0" y="0"/>
            <wp:positionH relativeFrom="column">
              <wp:posOffset>4805680</wp:posOffset>
            </wp:positionH>
            <wp:positionV relativeFrom="paragraph">
              <wp:posOffset>257809</wp:posOffset>
            </wp:positionV>
            <wp:extent cx="1458067" cy="2056765"/>
            <wp:effectExtent l="0" t="0" r="0" b="0"/>
            <wp:wrapSquare wrapText="bothSides" distT="0" distB="0" distL="0" distR="0"/>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458067" cy="2056765"/>
                    </a:xfrm>
                    <a:prstGeom prst="rect">
                      <a:avLst/>
                    </a:prstGeom>
                    <a:ln/>
                  </pic:spPr>
                </pic:pic>
              </a:graphicData>
            </a:graphic>
          </wp:anchor>
        </w:drawing>
      </w:r>
      <w:r w:rsidR="000C5431" w:rsidRPr="008C692B">
        <w:rPr>
          <w:rFonts w:ascii="Arial" w:eastAsia="Arial" w:hAnsi="Arial" w:cs="Arial"/>
          <w:b/>
          <w:sz w:val="24"/>
          <w:szCs w:val="24"/>
        </w:rPr>
        <w:t>Mission Locale Paris – Vallée de la Marne</w:t>
      </w:r>
    </w:p>
    <w:p w:rsidR="00FC6775" w:rsidRPr="000C5431" w:rsidRDefault="000C5431">
      <w:pPr>
        <w:rPr>
          <w:rFonts w:ascii="Arial" w:eastAsia="Arial" w:hAnsi="Arial" w:cs="Arial"/>
        </w:rPr>
      </w:pPr>
      <w:r>
        <w:rPr>
          <w:rFonts w:ascii="Arial" w:eastAsia="Arial" w:hAnsi="Arial" w:cs="Arial"/>
        </w:rPr>
        <w:t xml:space="preserve">5 passage de l’Arche </w:t>
      </w:r>
      <w:proofErr w:type="spellStart"/>
      <w:r>
        <w:rPr>
          <w:rFonts w:ascii="Arial" w:eastAsia="Arial" w:hAnsi="Arial" w:cs="Arial"/>
        </w:rPr>
        <w:t>Guédon</w:t>
      </w:r>
      <w:proofErr w:type="spellEnd"/>
      <w:r>
        <w:rPr>
          <w:rFonts w:ascii="Arial" w:eastAsia="Arial" w:hAnsi="Arial" w:cs="Arial"/>
        </w:rPr>
        <w:t xml:space="preserve"> – 77200 Torcy</w:t>
      </w:r>
    </w:p>
    <w:p w:rsidR="00FC6775" w:rsidRPr="000C5431" w:rsidRDefault="00454718">
      <w:pPr>
        <w:rPr>
          <w:rFonts w:ascii="Arial" w:eastAsia="Arial" w:hAnsi="Arial" w:cs="Arial"/>
        </w:rPr>
      </w:pPr>
      <w:r w:rsidRPr="000C5431">
        <w:rPr>
          <w:rFonts w:ascii="Arial" w:eastAsia="Arial" w:hAnsi="Arial" w:cs="Arial"/>
        </w:rPr>
        <w:t>Tel.</w:t>
      </w:r>
      <w:r w:rsidR="000C5431">
        <w:rPr>
          <w:rFonts w:ascii="Arial" w:eastAsia="Arial" w:hAnsi="Arial" w:cs="Arial"/>
        </w:rPr>
        <w:t>01.60.06.60.47</w:t>
      </w:r>
    </w:p>
    <w:p w:rsidR="00FC6775" w:rsidRPr="000C5431" w:rsidRDefault="00454718">
      <w:pPr>
        <w:rPr>
          <w:rFonts w:ascii="Arial" w:eastAsia="Arial" w:hAnsi="Arial" w:cs="Arial"/>
          <w:b/>
        </w:rPr>
      </w:pPr>
      <w:r w:rsidRPr="000C5431">
        <w:rPr>
          <w:rFonts w:ascii="Arial" w:eastAsia="Arial" w:hAnsi="Arial" w:cs="Arial"/>
          <w:b/>
        </w:rPr>
        <w:t xml:space="preserve">&gt;&gt;&gt; Contact Presse </w:t>
      </w:r>
    </w:p>
    <w:p w:rsidR="000C5431" w:rsidRPr="008A0C77" w:rsidRDefault="000C5431">
      <w:pPr>
        <w:rPr>
          <w:rStyle w:val="Lienhypertexte"/>
          <w:rFonts w:ascii="Arial" w:eastAsia="Arial" w:hAnsi="Arial" w:cs="Arial"/>
        </w:rPr>
      </w:pPr>
      <w:bookmarkStart w:id="0" w:name="_heading=h.gjdgxs" w:colFirst="0" w:colLast="0"/>
      <w:bookmarkEnd w:id="0"/>
      <w:r>
        <w:rPr>
          <w:rFonts w:ascii="Arial" w:eastAsia="Arial" w:hAnsi="Arial" w:cs="Arial"/>
        </w:rPr>
        <w:t>Christine Marty</w:t>
      </w:r>
      <w:r w:rsidR="008A0C77">
        <w:rPr>
          <w:rFonts w:ascii="Arial" w:eastAsia="Arial" w:hAnsi="Arial" w:cs="Arial"/>
        </w:rPr>
        <w:t xml:space="preserve"> / </w:t>
      </w:r>
      <w:r w:rsidR="008A0C77">
        <w:rPr>
          <w:rFonts w:ascii="Arial" w:eastAsia="Arial" w:hAnsi="Arial" w:cs="Arial"/>
        </w:rPr>
        <w:fldChar w:fldCharType="begin"/>
      </w:r>
      <w:r w:rsidR="008A0C77">
        <w:rPr>
          <w:rFonts w:ascii="Arial" w:eastAsia="Arial" w:hAnsi="Arial" w:cs="Arial"/>
        </w:rPr>
        <w:instrText xml:space="preserve"> HYPERLINK "c.marty@ml-pvm.fr" </w:instrText>
      </w:r>
      <w:r w:rsidR="008A0C77">
        <w:rPr>
          <w:rFonts w:ascii="Arial" w:eastAsia="Arial" w:hAnsi="Arial" w:cs="Arial"/>
        </w:rPr>
      </w:r>
      <w:r w:rsidR="008A0C77">
        <w:rPr>
          <w:rFonts w:ascii="Arial" w:eastAsia="Arial" w:hAnsi="Arial" w:cs="Arial"/>
        </w:rPr>
        <w:fldChar w:fldCharType="separate"/>
      </w:r>
      <w:r w:rsidRPr="008A0C77">
        <w:rPr>
          <w:rStyle w:val="Lienhypertexte"/>
          <w:rFonts w:ascii="Arial" w:eastAsia="Arial" w:hAnsi="Arial" w:cs="Arial"/>
        </w:rPr>
        <w:t>c.marty@ml-pv</w:t>
      </w:r>
      <w:r w:rsidRPr="008A0C77">
        <w:rPr>
          <w:rStyle w:val="Lienhypertexte"/>
          <w:rFonts w:ascii="Arial" w:eastAsia="Arial" w:hAnsi="Arial" w:cs="Arial"/>
        </w:rPr>
        <w:t>m</w:t>
      </w:r>
      <w:r w:rsidRPr="008A0C77">
        <w:rPr>
          <w:rStyle w:val="Lienhypertexte"/>
          <w:rFonts w:ascii="Arial" w:eastAsia="Arial" w:hAnsi="Arial" w:cs="Arial"/>
        </w:rPr>
        <w:t>.fr</w:t>
      </w:r>
    </w:p>
    <w:p w:rsidR="00FC6775" w:rsidRDefault="008A0C77">
      <w:pPr>
        <w:rPr>
          <w:rFonts w:ascii="Arial" w:eastAsia="Arial" w:hAnsi="Arial" w:cs="Arial"/>
        </w:rPr>
      </w:pPr>
      <w:r>
        <w:rPr>
          <w:rFonts w:ascii="Arial" w:eastAsia="Arial" w:hAnsi="Arial" w:cs="Arial"/>
        </w:rPr>
        <w:fldChar w:fldCharType="end"/>
      </w:r>
    </w:p>
    <w:p w:rsidR="00FC6775" w:rsidRDefault="00454718">
      <w:pPr>
        <w:rPr>
          <w:rFonts w:ascii="Arial" w:eastAsia="Arial" w:hAnsi="Arial" w:cs="Arial"/>
        </w:rPr>
      </w:pPr>
      <w:r>
        <w:rPr>
          <w:noProof/>
        </w:rPr>
        <w:drawing>
          <wp:anchor distT="0" distB="0" distL="0" distR="0" simplePos="0" relativeHeight="251660288" behindDoc="0" locked="0" layoutInCell="1" hidden="0" allowOverlap="1">
            <wp:simplePos x="0" y="0"/>
            <wp:positionH relativeFrom="column">
              <wp:posOffset>-138429</wp:posOffset>
            </wp:positionH>
            <wp:positionV relativeFrom="paragraph">
              <wp:posOffset>95250</wp:posOffset>
            </wp:positionV>
            <wp:extent cx="1614805" cy="2089785"/>
            <wp:effectExtent l="0" t="0" r="0" b="0"/>
            <wp:wrapSquare wrapText="bothSides" distT="0" distB="0" distL="0" distR="0"/>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14805" cy="2089785"/>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1614805</wp:posOffset>
            </wp:positionH>
            <wp:positionV relativeFrom="paragraph">
              <wp:posOffset>99695</wp:posOffset>
            </wp:positionV>
            <wp:extent cx="1495425" cy="2115185"/>
            <wp:effectExtent l="0" t="0" r="0" b="0"/>
            <wp:wrapSquare wrapText="bothSides" distT="0" distB="0" distL="0" distR="0"/>
            <wp:docPr id="2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95425" cy="2115185"/>
                    </a:xfrm>
                    <a:prstGeom prst="rect">
                      <a:avLst/>
                    </a:prstGeom>
                    <a:ln/>
                  </pic:spPr>
                </pic:pic>
              </a:graphicData>
            </a:graphic>
          </wp:anchor>
        </w:drawing>
      </w:r>
      <w:r>
        <w:rPr>
          <w:noProof/>
        </w:rPr>
        <w:drawing>
          <wp:anchor distT="0" distB="0" distL="0" distR="0" simplePos="0" relativeHeight="251662336" behindDoc="0" locked="0" layoutInCell="1" hidden="0" allowOverlap="1">
            <wp:simplePos x="0" y="0"/>
            <wp:positionH relativeFrom="column">
              <wp:posOffset>3235325</wp:posOffset>
            </wp:positionH>
            <wp:positionV relativeFrom="paragraph">
              <wp:posOffset>97790</wp:posOffset>
            </wp:positionV>
            <wp:extent cx="1494155" cy="2113915"/>
            <wp:effectExtent l="0" t="0" r="0" b="0"/>
            <wp:wrapSquare wrapText="bothSides" distT="0" distB="0" distL="0" distR="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494155" cy="2113915"/>
                    </a:xfrm>
                    <a:prstGeom prst="rect">
                      <a:avLst/>
                    </a:prstGeom>
                    <a:ln/>
                  </pic:spPr>
                </pic:pic>
              </a:graphicData>
            </a:graphic>
          </wp:anchor>
        </w:drawing>
      </w:r>
      <w:r>
        <w:rPr>
          <w:noProof/>
        </w:rPr>
        <w:drawing>
          <wp:anchor distT="0" distB="0" distL="0" distR="0" simplePos="0" relativeHeight="251663360" behindDoc="0" locked="0" layoutInCell="1" hidden="0" allowOverlap="1">
            <wp:simplePos x="0" y="0"/>
            <wp:positionH relativeFrom="column">
              <wp:posOffset>4805680</wp:posOffset>
            </wp:positionH>
            <wp:positionV relativeFrom="paragraph">
              <wp:posOffset>94615</wp:posOffset>
            </wp:positionV>
            <wp:extent cx="1494790" cy="2115185"/>
            <wp:effectExtent l="0" t="0" r="0" b="0"/>
            <wp:wrapSquare wrapText="bothSides" distT="0" distB="0" distL="0" distR="0"/>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94790" cy="2115185"/>
                    </a:xfrm>
                    <a:prstGeom prst="rect">
                      <a:avLst/>
                    </a:prstGeom>
                    <a:ln/>
                  </pic:spPr>
                </pic:pic>
              </a:graphicData>
            </a:graphic>
          </wp:anchor>
        </w:drawing>
      </w:r>
    </w:p>
    <w:p w:rsidR="00FC6775" w:rsidRDefault="00FC6775">
      <w:pPr>
        <w:rPr>
          <w:rFonts w:ascii="Arial" w:eastAsia="Arial" w:hAnsi="Arial" w:cs="Arial"/>
        </w:rPr>
      </w:pPr>
      <w:bookmarkStart w:id="1" w:name="_GoBack"/>
      <w:bookmarkEnd w:id="1"/>
    </w:p>
    <w:sectPr w:rsidR="00FC6775">
      <w:headerReference w:type="default" r:id="rId14"/>
      <w:pgSz w:w="11906" w:h="16838"/>
      <w:pgMar w:top="1884" w:right="1417" w:bottom="56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718" w:rsidRDefault="00454718">
      <w:pPr>
        <w:spacing w:after="0" w:line="240" w:lineRule="auto"/>
      </w:pPr>
      <w:r>
        <w:separator/>
      </w:r>
    </w:p>
  </w:endnote>
  <w:endnote w:type="continuationSeparator" w:id="0">
    <w:p w:rsidR="00454718" w:rsidRDefault="0045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altName w:val="serif"/>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718" w:rsidRDefault="00454718">
      <w:pPr>
        <w:spacing w:after="0" w:line="240" w:lineRule="auto"/>
      </w:pPr>
      <w:r>
        <w:separator/>
      </w:r>
    </w:p>
  </w:footnote>
  <w:footnote w:type="continuationSeparator" w:id="0">
    <w:p w:rsidR="00454718" w:rsidRDefault="00454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775" w:rsidRDefault="000C5431" w:rsidP="000C5431">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0C48C9D6" wp14:editId="5F73CD97">
          <wp:extent cx="1823688" cy="829340"/>
          <wp:effectExtent l="0" t="0" r="571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fficiel courant.PNG"/>
                  <pic:cNvPicPr/>
                </pic:nvPicPr>
                <pic:blipFill>
                  <a:blip r:embed="rId1">
                    <a:extLst>
                      <a:ext uri="{28A0092B-C50C-407E-A947-70E740481C1C}">
                        <a14:useLocalDpi xmlns:a14="http://schemas.microsoft.com/office/drawing/2010/main" val="0"/>
                      </a:ext>
                    </a:extLst>
                  </a:blip>
                  <a:stretch>
                    <a:fillRect/>
                  </a:stretch>
                </pic:blipFill>
                <pic:spPr>
                  <a:xfrm>
                    <a:off x="0" y="0"/>
                    <a:ext cx="1992665" cy="906184"/>
                  </a:xfrm>
                  <a:prstGeom prst="rect">
                    <a:avLst/>
                  </a:prstGeom>
                </pic:spPr>
              </pic:pic>
            </a:graphicData>
          </a:graphic>
        </wp:inline>
      </w:drawing>
    </w:r>
    <w:r w:rsidR="00454718">
      <w:rPr>
        <w:rFonts w:ascii="Arial" w:eastAsia="Arial" w:hAnsi="Arial" w:cs="Arial"/>
        <w:b/>
        <w:noProof/>
        <w:color w:val="ED7D31"/>
        <w:sz w:val="28"/>
        <w:szCs w:val="28"/>
      </w:rPr>
      <w:drawing>
        <wp:inline distT="0" distB="0" distL="0" distR="0" wp14:anchorId="718489C3" wp14:editId="04A5E16C">
          <wp:extent cx="2436744" cy="857373"/>
          <wp:effectExtent l="0" t="0" r="0" b="0"/>
          <wp:docPr id="2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436744" cy="857373"/>
                  </a:xfrm>
                  <a:prstGeom prst="rect">
                    <a:avLst/>
                  </a:prstGeom>
                  <a:ln/>
                </pic:spPr>
              </pic:pic>
            </a:graphicData>
          </a:graphic>
        </wp:inline>
      </w:drawing>
    </w:r>
    <w:r w:rsidR="00454718">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474A0C"/>
    <w:multiLevelType w:val="multilevel"/>
    <w:tmpl w:val="EA346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75"/>
    <w:rsid w:val="000C5431"/>
    <w:rsid w:val="00247B94"/>
    <w:rsid w:val="00454718"/>
    <w:rsid w:val="008A0C77"/>
    <w:rsid w:val="008C692B"/>
    <w:rsid w:val="00FC67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043F5"/>
  <w15:docId w15:val="{E60DBFB7-FF57-4AFD-94BE-D72E5911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DC4"/>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Paragraphedeliste">
    <w:name w:val="List Paragraph"/>
    <w:basedOn w:val="Normal"/>
    <w:uiPriority w:val="34"/>
    <w:qFormat/>
    <w:rsid w:val="00667DC4"/>
    <w:pPr>
      <w:ind w:left="720"/>
      <w:contextualSpacing/>
    </w:pPr>
  </w:style>
  <w:style w:type="paragraph" w:styleId="En-tte">
    <w:name w:val="header"/>
    <w:basedOn w:val="Normal"/>
    <w:link w:val="En-tteCar"/>
    <w:uiPriority w:val="99"/>
    <w:unhideWhenUsed/>
    <w:rsid w:val="00667DC4"/>
    <w:pPr>
      <w:tabs>
        <w:tab w:val="center" w:pos="4536"/>
        <w:tab w:val="right" w:pos="9072"/>
      </w:tabs>
      <w:spacing w:after="0" w:line="240" w:lineRule="auto"/>
    </w:pPr>
  </w:style>
  <w:style w:type="character" w:customStyle="1" w:styleId="En-tteCar">
    <w:name w:val="En-tête Car"/>
    <w:basedOn w:val="Policepardfaut"/>
    <w:link w:val="En-tte"/>
    <w:uiPriority w:val="99"/>
    <w:rsid w:val="00667DC4"/>
    <w:rPr>
      <w:sz w:val="22"/>
      <w:szCs w:val="22"/>
    </w:rPr>
  </w:style>
  <w:style w:type="paragraph" w:styleId="Pieddepage">
    <w:name w:val="footer"/>
    <w:basedOn w:val="Normal"/>
    <w:link w:val="PieddepageCar"/>
    <w:uiPriority w:val="99"/>
    <w:unhideWhenUsed/>
    <w:rsid w:val="00667D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7DC4"/>
    <w:rPr>
      <w:sz w:val="22"/>
      <w:szCs w:val="22"/>
    </w:rPr>
  </w:style>
  <w:style w:type="paragraph" w:styleId="Textedebulles">
    <w:name w:val="Balloon Text"/>
    <w:basedOn w:val="Normal"/>
    <w:link w:val="TextedebullesCar"/>
    <w:uiPriority w:val="99"/>
    <w:semiHidden/>
    <w:unhideWhenUsed/>
    <w:rsid w:val="0060283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2830"/>
    <w:rPr>
      <w:rFonts w:ascii="Segoe UI" w:hAnsi="Segoe UI" w:cs="Segoe UI"/>
      <w:sz w:val="18"/>
      <w:szCs w:val="18"/>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8A0C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UhOqiPrul2hIKgr1rtZ98plstw==">AMUW2mX6y/TRpPaIE5kGTVfL9GLlXLawGgj+CISVooEGnrHjKrMlOscc8IEPr5DTuL4wwHGIb0S5ExVo8uTeexA1IMKa0XO6UouVxQShtBOCdLeVLxF9JSJhT4s+pmHiRa+HTgcWvLUZ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496</Words>
  <Characters>2734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RODANET</dc:creator>
  <cp:lastModifiedBy>Christophe Guillozet</cp:lastModifiedBy>
  <cp:revision>5</cp:revision>
  <dcterms:created xsi:type="dcterms:W3CDTF">2021-02-10T09:42:00Z</dcterms:created>
  <dcterms:modified xsi:type="dcterms:W3CDTF">2021-02-17T13:53:00Z</dcterms:modified>
</cp:coreProperties>
</file>